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0"/>
        <w:rPr>
          <w:rFonts w:ascii="Times New Roman" w:eastAsia="黑体"/>
          <w:bCs/>
        </w:rPr>
      </w:pPr>
      <w:bookmarkStart w:id="0" w:name="_Toc408298774"/>
    </w:p>
    <w:p>
      <w:pPr>
        <w:spacing w:line="500" w:lineRule="exact"/>
        <w:jc w:val="center"/>
        <w:outlineLvl w:val="0"/>
        <w:rPr>
          <w:rFonts w:ascii="Times New Roman" w:eastAsia="方正小标宋简体"/>
          <w:bCs/>
          <w:sz w:val="44"/>
          <w:szCs w:val="44"/>
          <w:u w:val="single"/>
        </w:rPr>
      </w:pPr>
      <w:r>
        <w:rPr>
          <w:rStyle w:val="12"/>
          <w:rFonts w:hint="eastAsia" w:ascii="方正小标宋简体" w:eastAsia="方正小标宋简体"/>
          <w:b w:val="0"/>
          <w:u w:val="single"/>
        </w:rPr>
        <w:t>汉语国际教育硕士</w:t>
      </w:r>
      <w:r>
        <w:rPr>
          <w:rFonts w:hint="eastAsia" w:ascii="Times New Roman" w:eastAsia="方正小标宋简体"/>
          <w:bCs/>
          <w:sz w:val="44"/>
          <w:szCs w:val="44"/>
        </w:rPr>
        <w:t>专业学位</w:t>
      </w:r>
    </w:p>
    <w:p>
      <w:pPr>
        <w:spacing w:line="500" w:lineRule="exact"/>
        <w:jc w:val="center"/>
        <w:outlineLvl w:val="0"/>
        <w:rPr>
          <w:rFonts w:ascii="Times New Roman" w:eastAsia="方正小标宋简体"/>
          <w:bCs/>
          <w:sz w:val="44"/>
          <w:szCs w:val="44"/>
        </w:rPr>
      </w:pPr>
      <w:r>
        <w:rPr>
          <w:rFonts w:hint="eastAsia" w:ascii="Times New Roman" w:eastAsia="方正小标宋简体"/>
          <w:bCs/>
          <w:sz w:val="44"/>
          <w:szCs w:val="44"/>
        </w:rPr>
        <w:t>研究生培养方案</w:t>
      </w:r>
      <w:bookmarkEnd w:id="0"/>
      <w:r>
        <w:rPr>
          <w:rFonts w:hint="eastAsia" w:ascii="Times New Roman" w:eastAsia="方正小标宋简体"/>
          <w:bCs/>
          <w:sz w:val="44"/>
          <w:szCs w:val="44"/>
        </w:rPr>
        <w:t>和学位授予标准</w:t>
      </w:r>
    </w:p>
    <w:p>
      <w:pPr>
        <w:spacing w:line="300" w:lineRule="exact"/>
        <w:jc w:val="center"/>
        <w:outlineLvl w:val="0"/>
        <w:rPr>
          <w:rFonts w:ascii="Times New Roman" w:eastAsia="方正小标宋简体"/>
          <w:bCs/>
          <w:sz w:val="44"/>
          <w:szCs w:val="44"/>
        </w:rPr>
      </w:pPr>
    </w:p>
    <w:tbl>
      <w:tblPr>
        <w:tblStyle w:val="8"/>
        <w:tblW w:w="10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45"/>
        <w:gridCol w:w="682"/>
        <w:gridCol w:w="1683"/>
        <w:gridCol w:w="714"/>
        <w:gridCol w:w="741"/>
        <w:gridCol w:w="199"/>
        <w:gridCol w:w="1136"/>
        <w:gridCol w:w="992"/>
        <w:gridCol w:w="865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学院（中心）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文学</w:t>
            </w:r>
            <w:r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与新闻传播学院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培养类别</w:t>
            </w:r>
          </w:p>
        </w:tc>
        <w:tc>
          <w:tcPr>
            <w:tcW w:w="402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 xml:space="preserve">硕士 □博士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专业学位类别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（领域）名称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汉语</w:t>
            </w:r>
            <w:r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国际教育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专业学位类别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（领域）代码</w:t>
            </w:r>
          </w:p>
        </w:tc>
        <w:tc>
          <w:tcPr>
            <w:tcW w:w="402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0453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专业学位类别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（领域）英文名称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Master of Teaching Chinese to Speakers of Other Languages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适用学生类型</w:t>
            </w:r>
          </w:p>
        </w:tc>
        <w:tc>
          <w:tcPr>
            <w:tcW w:w="402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11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hint="eastAsia" w:cs="宋体"/>
                <w:color w:val="auto"/>
                <w:spacing w:val="11"/>
                <w:kern w:val="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color w:val="auto"/>
                <w:spacing w:val="11"/>
                <w:kern w:val="0"/>
                <w:sz w:val="18"/>
                <w:szCs w:val="18"/>
              </w:rPr>
              <w:t>□</w:t>
            </w:r>
            <w:r>
              <w:rPr>
                <w:rFonts w:hint="eastAsia" w:cs="宋体"/>
                <w:color w:val="auto"/>
                <w:spacing w:val="11"/>
                <w:kern w:val="0"/>
                <w:sz w:val="18"/>
                <w:szCs w:val="18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适用年级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从</w:t>
            </w:r>
            <w:r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  <w:u w:val="single"/>
              </w:rPr>
              <w:t xml:space="preserve"> 2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  <w:u w:val="single"/>
              </w:rPr>
              <w:t>021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级开始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修订时间</w:t>
            </w:r>
          </w:p>
        </w:tc>
        <w:tc>
          <w:tcPr>
            <w:tcW w:w="402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  <w:u w:val="single"/>
              </w:rPr>
              <w:t xml:space="preserve"> 20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  <w:u w:val="single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  <w:u w:val="singl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292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  <w:u w:val="single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基本修业年限</w:t>
            </w:r>
          </w:p>
        </w:tc>
        <w:tc>
          <w:tcPr>
            <w:tcW w:w="9292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  <w:u w:val="single"/>
              </w:rPr>
              <w:t xml:space="preserve"> 3 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9292" w:type="dxa"/>
            <w:gridSpan w:val="10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总学分≥</w:t>
            </w:r>
            <w:r>
              <w:rPr>
                <w:rFonts w:hint="eastAsia" w:ascii="宋体" w:hAnsi="宋体" w:eastAsia="宋体"/>
                <w:color w:val="auto"/>
                <w:spacing w:val="11"/>
                <w:kern w:val="0"/>
                <w:sz w:val="18"/>
                <w:szCs w:val="18"/>
                <w:u w:val="single"/>
              </w:rPr>
              <w:t>39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学分，其中课程学分≥</w:t>
            </w:r>
            <w:r>
              <w:rPr>
                <w:rFonts w:hint="eastAsia" w:ascii="宋体" w:hAnsi="宋体" w:eastAsia="宋体"/>
                <w:color w:val="auto"/>
                <w:spacing w:val="11"/>
                <w:kern w:val="0"/>
                <w:sz w:val="18"/>
                <w:szCs w:val="18"/>
                <w:u w:val="single"/>
              </w:rPr>
              <w:t xml:space="preserve"> 32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学分，实践模块和培养环节≥</w:t>
            </w:r>
            <w:r>
              <w:rPr>
                <w:rFonts w:hint="eastAsia" w:ascii="宋体" w:hAnsi="宋体" w:eastAsia="宋体"/>
                <w:color w:val="auto"/>
                <w:spacing w:val="11"/>
                <w:kern w:val="0"/>
                <w:sz w:val="18"/>
                <w:szCs w:val="18"/>
                <w:u w:val="single"/>
              </w:rPr>
              <w:t xml:space="preserve"> 7 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专业学位类别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（领域）简介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（200字内）</w:t>
            </w:r>
          </w:p>
        </w:tc>
        <w:tc>
          <w:tcPr>
            <w:tcW w:w="9292" w:type="dxa"/>
            <w:gridSpan w:val="10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汉语国际教育融通教育学、语言教学、中国语言文学、文化学等学科，适应汉语走向世界需要，改革和完善对外汉语教学专门人才培养体系，培养符合汉语国际教育新形势需要，以发展汉语作为第二语言教学能力为核心，同时注重培养中华语言文化的传播能力、跨文化交际能力，具有学科交叉的内涵和优势。本学科点重视外国学生汉语习得规律的探索，重视汉语作为第二语言教学法的研究。重在发展研究生的教学能力和汉语汉文化国际传播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培养目标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（200字内）</w:t>
            </w:r>
          </w:p>
        </w:tc>
        <w:tc>
          <w:tcPr>
            <w:tcW w:w="9292" w:type="dxa"/>
            <w:gridSpan w:val="10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（一）掌握马克思主义基本理论，具备良好的专业素质和职业道德。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（二）热爱汉语国际教育事业，具有奉献精神和开拓意识。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（三）具备熟练的汉语作为第二语言教学技能，能熟练运用现代教育技术和科技手段进行教学。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（四）具有较高的中华文化素养和传播能力。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（五）能流利地使用一种外语进行教学和交流，具有跨文化交际能力。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（六）具有语言文化国际推广项目的管理、组织与协调能力。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717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课程体系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课程中文名称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开课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学期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备注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1"/>
                <w:kern w:val="0"/>
                <w:sz w:val="18"/>
                <w:szCs w:val="18"/>
              </w:rPr>
              <w:t>（含</w:t>
            </w: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前置课</w:t>
            </w:r>
            <w:r>
              <w:rPr>
                <w:rFonts w:hint="eastAsia" w:ascii="宋体" w:hAnsi="宋体" w:eastAsia="宋体" w:cs="宋体"/>
                <w:bCs/>
                <w:color w:val="auto"/>
                <w:spacing w:val="11"/>
                <w:kern w:val="0"/>
                <w:sz w:val="18"/>
                <w:szCs w:val="18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公共课：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pacing w:val="11"/>
                <w:kern w:val="0"/>
                <w:sz w:val="18"/>
                <w:szCs w:val="18"/>
                <w:u w:val="single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000K0014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中国特色社会主义理论与实践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研究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夏秋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000K0015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马克思主义与社会科学方法论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夏秋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000K00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19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专业学位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研究生外国语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夏秋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000K9002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学术道德与规范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夏秋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tabs>
                <w:tab w:val="left" w:pos="266"/>
              </w:tabs>
              <w:spacing w:line="320" w:lineRule="exact"/>
              <w:jc w:val="lef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000K9003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论文写作指导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夏秋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基础课：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pacing w:val="11"/>
                <w:kern w:val="0"/>
                <w:sz w:val="18"/>
                <w:szCs w:val="18"/>
                <w:u w:val="single"/>
              </w:rPr>
              <w:t>1</w:t>
            </w:r>
            <w:r>
              <w:rPr>
                <w:rFonts w:hint="eastAsia" w:ascii="宋体" w:hAnsi="宋体" w:eastAsia="宋体"/>
                <w:color w:val="auto"/>
                <w:spacing w:val="11"/>
                <w:kern w:val="0"/>
                <w:sz w:val="18"/>
                <w:szCs w:val="18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学分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140K0251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汉语语言学导论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夏秋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310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汉语作为第二语言教学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春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140K0257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第二语言习得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研究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春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140K0246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跨文化交际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研究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夏秋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313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中华文化与传播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春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140K0401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国际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汉语教学案例分析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夏秋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专业课：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pacing w:val="11"/>
                <w:kern w:val="0"/>
                <w:sz w:val="18"/>
                <w:szCs w:val="18"/>
              </w:rPr>
              <w:t>≥8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学分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140K0402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汉语要素教学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词汇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夏秋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140K0403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汉语要素教学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语法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夏秋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140K0252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汉语要素教学.语音 汉字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夏秋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140K0265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现代教育技术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研究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春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314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中外文化交流专题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春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316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外国学生汉语学习语法偏误分析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春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140K0290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国外中小学教育专题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春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140K0404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俄语区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语言文化专题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春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  <w:fldChar w:fldCharType="begin"/>
            </w:r>
            <w:r>
              <w:rPr>
                <w:rFonts w:hint="default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  <w:instrText xml:space="preserve"> HYPERLINK "http://pgs.ouc.edu.cn/py/page/academy/kccxwhxx.htm?kcId=E5DFC689F9A9BABBF11B65D100F7BD24" \t "http://pgs.ouc.edu.cn/py/page/academy/_blank" </w:instrText>
            </w:r>
            <w:r>
              <w:rPr>
                <w:rFonts w:hint="default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  <w:fldChar w:fldCharType="separate"/>
            </w:r>
            <w:r>
              <w:rPr>
                <w:rFonts w:hint="default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  <w:t>140K0396</w:t>
            </w:r>
            <w:r>
              <w:rPr>
                <w:rFonts w:hint="default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教育学概论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夏秋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140K0279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课堂教学研究与实践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春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140K0278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中华文化才艺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春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跨专业课程：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pacing w:val="11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/>
                <w:color w:val="auto"/>
                <w:spacing w:val="11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9292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由导师指导研究生选择跨专业课程的选修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补修课程</w:t>
            </w:r>
          </w:p>
          <w:p>
            <w:pPr>
              <w:widowControl/>
              <w:spacing w:line="320" w:lineRule="exact"/>
              <w:jc w:val="center"/>
              <w:rPr>
                <w:rFonts w:ascii="Calibri" w:hAnsi="Calibri" w:eastAsia="宋体"/>
                <w:color w:val="auto"/>
                <w:spacing w:val="11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(不计学分)</w:t>
            </w:r>
          </w:p>
        </w:tc>
        <w:tc>
          <w:tcPr>
            <w:tcW w:w="1445" w:type="dxa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140K025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现代汉语Ⅰ（补修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夏秋、春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5" w:type="dxa"/>
            <w:vMerge w:val="continue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3079" w:type="dxa"/>
            <w:gridSpan w:val="3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现代汉语Ⅱ（补修）</w:t>
            </w:r>
          </w:p>
        </w:tc>
        <w:tc>
          <w:tcPr>
            <w:tcW w:w="940" w:type="dxa"/>
            <w:gridSpan w:val="2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1136" w:type="dxa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夏秋、春</w:t>
            </w:r>
          </w:p>
        </w:tc>
        <w:tc>
          <w:tcPr>
            <w:tcW w:w="992" w:type="dxa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865" w:type="dxa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835" w:type="dxa"/>
            <w:vMerge w:val="continue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25" w:type="dxa"/>
            <w:vMerge w:val="continue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140K0260</w:t>
            </w:r>
          </w:p>
        </w:tc>
        <w:tc>
          <w:tcPr>
            <w:tcW w:w="3079" w:type="dxa"/>
            <w:gridSpan w:val="3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语言学概论（补修）</w:t>
            </w:r>
          </w:p>
        </w:tc>
        <w:tc>
          <w:tcPr>
            <w:tcW w:w="940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6" w:type="dxa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夏秋</w:t>
            </w:r>
          </w:p>
        </w:tc>
        <w:tc>
          <w:tcPr>
            <w:tcW w:w="992" w:type="dxa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865" w:type="dxa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835" w:type="dxa"/>
            <w:vMerge w:val="continue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717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实践模块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实践模块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6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基本内容</w:t>
            </w:r>
          </w:p>
        </w:tc>
        <w:tc>
          <w:tcPr>
            <w:tcW w:w="4768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考核细则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1"/>
                <w:kern w:val="0"/>
                <w:sz w:val="18"/>
                <w:szCs w:val="18"/>
              </w:rPr>
              <w:t>（以下模块应在毕业资格审核前通过考核）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实践训练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（专业实践）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6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widowControl/>
              <w:spacing w:line="320" w:lineRule="exact"/>
              <w:ind w:firstLine="360" w:firstLineChars="200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实践训练（专业实践）包括汉语国际教育专业教学实践、与专业相关的社会实践等方面，具体分为课堂教学实践与其它教育实践两种类型，包括多种形式：课堂观摩与评课；教案设计与说课；模拟教学与试讲；岗位教学实习；其它专业相关社会实践包括：教材处理与教学资源开发；文化交流与实践；教育管理实习</w:t>
            </w:r>
          </w:p>
          <w:p>
            <w:pPr>
              <w:widowControl/>
              <w:spacing w:line="320" w:lineRule="exact"/>
              <w:ind w:firstLine="404" w:firstLineChars="200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汉语国际教育实践训练（专业实践）主要分见习和实习两个阶段实施。原则上，中国全日制学生实习期限为一学年。实习的具体起讫时间由培养单位根据实际情况确定。</w:t>
            </w:r>
          </w:p>
          <w:p>
            <w:pPr>
              <w:widowControl/>
              <w:spacing w:line="320" w:lineRule="exact"/>
              <w:ind w:firstLine="360" w:firstLineChars="200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768" w:type="dxa"/>
            <w:gridSpan w:val="6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详见《中国海洋大学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研究生实践模块和培养环节实施细则（汉语国际教育硕士）》。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学术活动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  <w:t>必修</w:t>
            </w:r>
          </w:p>
        </w:tc>
        <w:tc>
          <w:tcPr>
            <w:tcW w:w="6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  <w:t>0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学生在校期间须参加8场次以上的讲座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学术报告。</w:t>
            </w:r>
          </w:p>
        </w:tc>
        <w:tc>
          <w:tcPr>
            <w:tcW w:w="4768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17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1"/>
                <w:kern w:val="0"/>
                <w:sz w:val="18"/>
                <w:szCs w:val="18"/>
              </w:rPr>
              <w:t>培养环节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培养环节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  <w:t>必修</w:t>
            </w:r>
          </w:p>
        </w:tc>
        <w:tc>
          <w:tcPr>
            <w:tcW w:w="6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11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基本内容</w:t>
            </w:r>
          </w:p>
        </w:tc>
        <w:tc>
          <w:tcPr>
            <w:tcW w:w="4768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pacing w:val="11"/>
                <w:kern w:val="0"/>
                <w:sz w:val="18"/>
                <w:szCs w:val="18"/>
              </w:rPr>
              <w:t>考核细则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1"/>
                <w:kern w:val="0"/>
                <w:sz w:val="18"/>
                <w:szCs w:val="18"/>
              </w:rPr>
              <w:t>（以下除学位论文答辩之外的环节应在毕业资格审核前通过考核）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开题审核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  <w:t>必修</w:t>
            </w:r>
          </w:p>
        </w:tc>
        <w:tc>
          <w:tcPr>
            <w:tcW w:w="6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导师组审核开题报告，包括选题、思路及材料准备等情况，以及课程学分完成情况和思想政治等综合表现</w:t>
            </w:r>
          </w:p>
        </w:tc>
        <w:tc>
          <w:tcPr>
            <w:tcW w:w="4768" w:type="dxa"/>
            <w:gridSpan w:val="6"/>
            <w:vMerge w:val="restart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详见《中国海洋大学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18"/>
                <w:szCs w:val="18"/>
              </w:rPr>
              <w:t>研究生实践模块和培养环节实施细则（汉语国际教育硕士）》。</w:t>
            </w:r>
          </w:p>
          <w:p>
            <w:pPr>
              <w:spacing w:line="320" w:lineRule="exact"/>
              <w:rPr>
                <w:rFonts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学位论文答辩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  <w:t>必修</w:t>
            </w:r>
          </w:p>
        </w:tc>
        <w:tc>
          <w:tcPr>
            <w:tcW w:w="6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  <w:t>0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</w:pPr>
            <w:bookmarkStart w:id="1" w:name="_Hlk72745260"/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  <w:t>学位论文选题应紧密结合汉语国际教育实践，有应用价值。学位论文形式可以是专题研究、调研报告、教学实验报告、典型案例分析、教学设计等，论文字数应在3万字左右。吸收国际汉语教学第一线（尤其是中小学）具有高级专业技术职务的专家、教师参与论文指导。</w:t>
            </w:r>
            <w:bookmarkEnd w:id="1"/>
          </w:p>
        </w:tc>
        <w:tc>
          <w:tcPr>
            <w:tcW w:w="4768" w:type="dxa"/>
            <w:gridSpan w:val="6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auto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学位授予</w:t>
            </w:r>
          </w:p>
        </w:tc>
        <w:tc>
          <w:tcPr>
            <w:tcW w:w="9292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kern w:val="0"/>
                <w:sz w:val="18"/>
                <w:szCs w:val="18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717" w:type="dxa"/>
            <w:gridSpan w:val="11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pacing w:val="15"/>
                <w:kern w:val="0"/>
                <w:sz w:val="18"/>
                <w:szCs w:val="18"/>
              </w:rPr>
              <w:t>编写成员： 王庆云 刘中富 王颖 邢军 刘爽 孙兰 葛静深 赵晓庆 赵海玲 于媛颖 孙德华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717" w:type="dxa"/>
            <w:gridSpan w:val="11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auto"/>
                <w:spacing w:val="15"/>
                <w:kern w:val="0"/>
                <w:sz w:val="18"/>
                <w:szCs w:val="18"/>
              </w:rPr>
            </w:pPr>
          </w:p>
        </w:tc>
      </w:tr>
    </w:tbl>
    <w:p>
      <w:pPr>
        <w:spacing w:line="480" w:lineRule="exact"/>
        <w:rPr>
          <w:rFonts w:hAnsi="仿宋"/>
          <w:color w:val="000000"/>
        </w:rPr>
      </w:pPr>
    </w:p>
    <w:p/>
    <w:sectPr>
      <w:pgSz w:w="11906" w:h="16838"/>
      <w:pgMar w:top="1134" w:right="1474" w:bottom="1134" w:left="1588" w:header="851" w:footer="992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AE"/>
    <w:rsid w:val="00031451"/>
    <w:rsid w:val="000367BF"/>
    <w:rsid w:val="00036F60"/>
    <w:rsid w:val="00055245"/>
    <w:rsid w:val="00070AE9"/>
    <w:rsid w:val="00082DA9"/>
    <w:rsid w:val="00084AF0"/>
    <w:rsid w:val="00090E83"/>
    <w:rsid w:val="0009308A"/>
    <w:rsid w:val="000933DF"/>
    <w:rsid w:val="000D409A"/>
    <w:rsid w:val="000E425F"/>
    <w:rsid w:val="000F35D3"/>
    <w:rsid w:val="000F3BE2"/>
    <w:rsid w:val="000F639C"/>
    <w:rsid w:val="00107DC8"/>
    <w:rsid w:val="00127E70"/>
    <w:rsid w:val="00143B7C"/>
    <w:rsid w:val="001713E1"/>
    <w:rsid w:val="001726D4"/>
    <w:rsid w:val="001818AE"/>
    <w:rsid w:val="001E26BC"/>
    <w:rsid w:val="001E34CD"/>
    <w:rsid w:val="001E4DCA"/>
    <w:rsid w:val="00246683"/>
    <w:rsid w:val="002B2FBD"/>
    <w:rsid w:val="002D55BA"/>
    <w:rsid w:val="002D5964"/>
    <w:rsid w:val="002E56EB"/>
    <w:rsid w:val="002F19A0"/>
    <w:rsid w:val="00300F01"/>
    <w:rsid w:val="00311FBE"/>
    <w:rsid w:val="00361A05"/>
    <w:rsid w:val="00366B05"/>
    <w:rsid w:val="00370217"/>
    <w:rsid w:val="003A1325"/>
    <w:rsid w:val="003A7AD0"/>
    <w:rsid w:val="003B3D2E"/>
    <w:rsid w:val="003E035F"/>
    <w:rsid w:val="003F7384"/>
    <w:rsid w:val="00401706"/>
    <w:rsid w:val="004201FE"/>
    <w:rsid w:val="0042744B"/>
    <w:rsid w:val="00457329"/>
    <w:rsid w:val="00462B96"/>
    <w:rsid w:val="004A508F"/>
    <w:rsid w:val="004B293B"/>
    <w:rsid w:val="004C649C"/>
    <w:rsid w:val="004E6DA8"/>
    <w:rsid w:val="00501EC6"/>
    <w:rsid w:val="005369E2"/>
    <w:rsid w:val="00546DCD"/>
    <w:rsid w:val="005644EF"/>
    <w:rsid w:val="00574AE6"/>
    <w:rsid w:val="00580433"/>
    <w:rsid w:val="00591C73"/>
    <w:rsid w:val="005A41C0"/>
    <w:rsid w:val="005C73AD"/>
    <w:rsid w:val="005F7E0C"/>
    <w:rsid w:val="00604B3E"/>
    <w:rsid w:val="00654187"/>
    <w:rsid w:val="0066050A"/>
    <w:rsid w:val="00681350"/>
    <w:rsid w:val="006F358A"/>
    <w:rsid w:val="00715C7E"/>
    <w:rsid w:val="00721D80"/>
    <w:rsid w:val="007334F6"/>
    <w:rsid w:val="00772B00"/>
    <w:rsid w:val="0077505E"/>
    <w:rsid w:val="00793343"/>
    <w:rsid w:val="007F2CCD"/>
    <w:rsid w:val="00824E74"/>
    <w:rsid w:val="008847C5"/>
    <w:rsid w:val="00897832"/>
    <w:rsid w:val="008B47B8"/>
    <w:rsid w:val="008C2902"/>
    <w:rsid w:val="008D0671"/>
    <w:rsid w:val="008E4F9F"/>
    <w:rsid w:val="009005C8"/>
    <w:rsid w:val="009517B5"/>
    <w:rsid w:val="00951EBD"/>
    <w:rsid w:val="00974A58"/>
    <w:rsid w:val="00975C73"/>
    <w:rsid w:val="00981621"/>
    <w:rsid w:val="009C646B"/>
    <w:rsid w:val="009D431D"/>
    <w:rsid w:val="009E6D6C"/>
    <w:rsid w:val="00A05514"/>
    <w:rsid w:val="00A24523"/>
    <w:rsid w:val="00A52B10"/>
    <w:rsid w:val="00A5576A"/>
    <w:rsid w:val="00A7129C"/>
    <w:rsid w:val="00A805D3"/>
    <w:rsid w:val="00A82039"/>
    <w:rsid w:val="00AA1A6D"/>
    <w:rsid w:val="00AC46BB"/>
    <w:rsid w:val="00B0123B"/>
    <w:rsid w:val="00B1556A"/>
    <w:rsid w:val="00B22267"/>
    <w:rsid w:val="00B54A38"/>
    <w:rsid w:val="00B95A94"/>
    <w:rsid w:val="00BA222D"/>
    <w:rsid w:val="00BA7E44"/>
    <w:rsid w:val="00BD3835"/>
    <w:rsid w:val="00BE0289"/>
    <w:rsid w:val="00C25DEA"/>
    <w:rsid w:val="00CD3912"/>
    <w:rsid w:val="00CD57CD"/>
    <w:rsid w:val="00CE7E3E"/>
    <w:rsid w:val="00D55CC1"/>
    <w:rsid w:val="00D9261B"/>
    <w:rsid w:val="00DA51D8"/>
    <w:rsid w:val="00DA74BD"/>
    <w:rsid w:val="00DB4F52"/>
    <w:rsid w:val="00DD7BC0"/>
    <w:rsid w:val="00DE4F5C"/>
    <w:rsid w:val="00DE559B"/>
    <w:rsid w:val="00DF02EC"/>
    <w:rsid w:val="00E0031F"/>
    <w:rsid w:val="00E21092"/>
    <w:rsid w:val="00E50E0F"/>
    <w:rsid w:val="00E96C64"/>
    <w:rsid w:val="00EA25D9"/>
    <w:rsid w:val="00EA3219"/>
    <w:rsid w:val="00EA3901"/>
    <w:rsid w:val="00EA41D6"/>
    <w:rsid w:val="00EC5721"/>
    <w:rsid w:val="00F40022"/>
    <w:rsid w:val="00F4567F"/>
    <w:rsid w:val="00F666E2"/>
    <w:rsid w:val="00FA7CD9"/>
    <w:rsid w:val="00FF53BC"/>
    <w:rsid w:val="0105707E"/>
    <w:rsid w:val="033F7FAA"/>
    <w:rsid w:val="03EC22D8"/>
    <w:rsid w:val="04F27A72"/>
    <w:rsid w:val="04FE6CA1"/>
    <w:rsid w:val="0549469E"/>
    <w:rsid w:val="057A50DF"/>
    <w:rsid w:val="05B4670F"/>
    <w:rsid w:val="07553949"/>
    <w:rsid w:val="079F1947"/>
    <w:rsid w:val="085F105D"/>
    <w:rsid w:val="09396062"/>
    <w:rsid w:val="09500B98"/>
    <w:rsid w:val="0C804617"/>
    <w:rsid w:val="0CAE026D"/>
    <w:rsid w:val="0CB57865"/>
    <w:rsid w:val="0F297D0B"/>
    <w:rsid w:val="1169089A"/>
    <w:rsid w:val="117A063E"/>
    <w:rsid w:val="11F33F96"/>
    <w:rsid w:val="12E777D8"/>
    <w:rsid w:val="135062B4"/>
    <w:rsid w:val="13BA73DF"/>
    <w:rsid w:val="156D1F0D"/>
    <w:rsid w:val="175510BA"/>
    <w:rsid w:val="17C016FE"/>
    <w:rsid w:val="17DF3794"/>
    <w:rsid w:val="18EC013D"/>
    <w:rsid w:val="19155093"/>
    <w:rsid w:val="19494174"/>
    <w:rsid w:val="198E59A4"/>
    <w:rsid w:val="198E6994"/>
    <w:rsid w:val="1B7C5078"/>
    <w:rsid w:val="1BB31046"/>
    <w:rsid w:val="1C411BFE"/>
    <w:rsid w:val="1CEF02BF"/>
    <w:rsid w:val="1D0F2A52"/>
    <w:rsid w:val="1D360DCC"/>
    <w:rsid w:val="1D3B700E"/>
    <w:rsid w:val="1D835630"/>
    <w:rsid w:val="1DDC4502"/>
    <w:rsid w:val="1EEA0468"/>
    <w:rsid w:val="1F141CB6"/>
    <w:rsid w:val="1FA4490C"/>
    <w:rsid w:val="201C5651"/>
    <w:rsid w:val="20F952C4"/>
    <w:rsid w:val="21F46B65"/>
    <w:rsid w:val="22174AD2"/>
    <w:rsid w:val="22C44841"/>
    <w:rsid w:val="24F04B63"/>
    <w:rsid w:val="25A53B0D"/>
    <w:rsid w:val="25D856A7"/>
    <w:rsid w:val="270F318D"/>
    <w:rsid w:val="27B6024B"/>
    <w:rsid w:val="284D31F5"/>
    <w:rsid w:val="28B2501B"/>
    <w:rsid w:val="290368D3"/>
    <w:rsid w:val="29FB40EB"/>
    <w:rsid w:val="2A333EDD"/>
    <w:rsid w:val="2A456136"/>
    <w:rsid w:val="2A517687"/>
    <w:rsid w:val="2B6A72E3"/>
    <w:rsid w:val="2C975072"/>
    <w:rsid w:val="2D2E0E26"/>
    <w:rsid w:val="2E3B7F88"/>
    <w:rsid w:val="2F016C4E"/>
    <w:rsid w:val="2F5D074F"/>
    <w:rsid w:val="2F690D26"/>
    <w:rsid w:val="2F817DEE"/>
    <w:rsid w:val="2FA44754"/>
    <w:rsid w:val="301B6068"/>
    <w:rsid w:val="303B465E"/>
    <w:rsid w:val="31F80866"/>
    <w:rsid w:val="322100D3"/>
    <w:rsid w:val="32594BD4"/>
    <w:rsid w:val="32D5706E"/>
    <w:rsid w:val="33B12F41"/>
    <w:rsid w:val="344870D0"/>
    <w:rsid w:val="34786670"/>
    <w:rsid w:val="34B36872"/>
    <w:rsid w:val="35133E84"/>
    <w:rsid w:val="359E21A0"/>
    <w:rsid w:val="36AD28E8"/>
    <w:rsid w:val="37763266"/>
    <w:rsid w:val="37EF191D"/>
    <w:rsid w:val="3A0617B6"/>
    <w:rsid w:val="3A144874"/>
    <w:rsid w:val="3A7A2CB7"/>
    <w:rsid w:val="3ACF247D"/>
    <w:rsid w:val="3AFD0B42"/>
    <w:rsid w:val="3BF926AC"/>
    <w:rsid w:val="3DA56F4E"/>
    <w:rsid w:val="3FC53DCC"/>
    <w:rsid w:val="41031164"/>
    <w:rsid w:val="44E90699"/>
    <w:rsid w:val="44EB7EEF"/>
    <w:rsid w:val="45AE16A5"/>
    <w:rsid w:val="46C30049"/>
    <w:rsid w:val="47347AB8"/>
    <w:rsid w:val="474E5F31"/>
    <w:rsid w:val="47A503FB"/>
    <w:rsid w:val="480F58D7"/>
    <w:rsid w:val="481B2AD4"/>
    <w:rsid w:val="48BA6199"/>
    <w:rsid w:val="48DD71B1"/>
    <w:rsid w:val="4A5124D4"/>
    <w:rsid w:val="4AF022BB"/>
    <w:rsid w:val="4B263A25"/>
    <w:rsid w:val="4B95438A"/>
    <w:rsid w:val="4D480156"/>
    <w:rsid w:val="4DE84626"/>
    <w:rsid w:val="4EA41283"/>
    <w:rsid w:val="50212892"/>
    <w:rsid w:val="51B927A1"/>
    <w:rsid w:val="525B1D43"/>
    <w:rsid w:val="53777E89"/>
    <w:rsid w:val="57955506"/>
    <w:rsid w:val="579807D7"/>
    <w:rsid w:val="5948151A"/>
    <w:rsid w:val="5A733075"/>
    <w:rsid w:val="5A776559"/>
    <w:rsid w:val="5AF7445C"/>
    <w:rsid w:val="5BC24BFB"/>
    <w:rsid w:val="5E80543E"/>
    <w:rsid w:val="5EBB4539"/>
    <w:rsid w:val="5F162EBF"/>
    <w:rsid w:val="5F256845"/>
    <w:rsid w:val="5F6624CC"/>
    <w:rsid w:val="5FB627BB"/>
    <w:rsid w:val="6298416C"/>
    <w:rsid w:val="62D62160"/>
    <w:rsid w:val="63C035E1"/>
    <w:rsid w:val="63CA56D7"/>
    <w:rsid w:val="644037EA"/>
    <w:rsid w:val="648C571E"/>
    <w:rsid w:val="64CC686B"/>
    <w:rsid w:val="65221DF3"/>
    <w:rsid w:val="6693619C"/>
    <w:rsid w:val="66B01F05"/>
    <w:rsid w:val="69FD22C9"/>
    <w:rsid w:val="6C9B640E"/>
    <w:rsid w:val="6DFB6486"/>
    <w:rsid w:val="6E1B32A0"/>
    <w:rsid w:val="6E5D251A"/>
    <w:rsid w:val="6F5F7E88"/>
    <w:rsid w:val="710B2214"/>
    <w:rsid w:val="71267528"/>
    <w:rsid w:val="73996C0A"/>
    <w:rsid w:val="74B93F01"/>
    <w:rsid w:val="74FE11C6"/>
    <w:rsid w:val="75702DB7"/>
    <w:rsid w:val="77BB71CC"/>
    <w:rsid w:val="798076CB"/>
    <w:rsid w:val="79A50C3C"/>
    <w:rsid w:val="79B2022F"/>
    <w:rsid w:val="79BF3E72"/>
    <w:rsid w:val="7C60302F"/>
    <w:rsid w:val="7C8556DC"/>
    <w:rsid w:val="7C950C41"/>
    <w:rsid w:val="7E1B223D"/>
    <w:rsid w:val="7E5F4BC2"/>
    <w:rsid w:val="7E730FF7"/>
    <w:rsid w:val="7F197B72"/>
    <w:rsid w:val="7F7F1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link w:val="2"/>
    <w:qFormat/>
    <w:uiPriority w:val="0"/>
    <w:rPr>
      <w:b/>
      <w:kern w:val="44"/>
      <w:sz w:val="44"/>
    </w:rPr>
  </w:style>
  <w:style w:type="paragraph" w:customStyle="1" w:styleId="13">
    <w:name w:val="普通(网站) Char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/>
      <w:kern w:val="0"/>
      <w:sz w:val="24"/>
      <w:szCs w:val="24"/>
    </w:rPr>
  </w:style>
  <w:style w:type="character" w:customStyle="1" w:styleId="14">
    <w:name w:val="页眉 字符"/>
    <w:basedOn w:val="9"/>
    <w:link w:val="6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仿宋_GB2312" w:eastAsia="仿宋_GB2312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文字 字符"/>
    <w:basedOn w:val="9"/>
    <w:link w:val="3"/>
    <w:semiHidden/>
    <w:qFormat/>
    <w:uiPriority w:val="99"/>
    <w:rPr>
      <w:rFonts w:ascii="仿宋_GB2312" w:eastAsia="仿宋_GB2312"/>
      <w:kern w:val="2"/>
      <w:sz w:val="32"/>
      <w:szCs w:val="32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="仿宋_GB2312"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0A451F-08AC-4778-842E-4FB8FE83D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ouc</Company>
  <Pages>6</Pages>
  <Words>431</Words>
  <Characters>2463</Characters>
  <Lines>20</Lines>
  <Paragraphs>5</Paragraphs>
  <TotalTime>0</TotalTime>
  <ScaleCrop>false</ScaleCrop>
  <LinksUpToDate>false</LinksUpToDate>
  <CharactersWithSpaces>2889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2021-05-22T09:39:00Z</dcterms:created>
  <dc:creator>chujiajie</dc:creator>
  <cp:lastModifiedBy>看不到永遠</cp:lastModifiedBy>
  <cp:lastPrinted>2019-06-17T02:08:00Z</cp:lastPrinted>
  <dcterms:modified xsi:type="dcterms:W3CDTF">2021-07-02T08:33:57Z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B76AA52B41F94EA49A79E0CAF66FB9DB</vt:lpwstr>
  </property>
</Properties>
</file>