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共青团柳州市委员会招聘编外工作人员</w:t>
      </w:r>
      <w:r>
        <w:rPr>
          <w:rFonts w:hint="eastAsia" w:ascii="黑体" w:eastAsia="黑体"/>
          <w:kern w:val="0"/>
          <w:sz w:val="36"/>
          <w:szCs w:val="36"/>
        </w:rPr>
        <w:t>招募报名表</w:t>
      </w:r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项目经验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left="-199" w:leftChars="-95" w:right="-136" w:righ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2"/>
              </w:rPr>
              <w:t>（从高中写起）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</w:t>
            </w:r>
          </w:p>
          <w:p>
            <w:pPr>
              <w:ind w:left="-199" w:leftChars="-95" w:right="-204" w:rightChars="-97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（全日制或在职）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业务培训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" w:leftChars="0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共青团柳州市委员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145C1"/>
    <w:rsid w:val="428145C1"/>
    <w:rsid w:val="444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2020-11-20T08:46:00Z</dcterms:created>
  <dc:creator>杯子</dc:creator>
  <cp:lastModifiedBy>我张显不出琪的魅力</cp:lastModifiedBy>
  <dcterms:modified xsi:type="dcterms:W3CDTF">2020-11-26T15:37:20Z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